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5A9" w:rsidRPr="00477167" w:rsidRDefault="008F15A9" w:rsidP="006D69AA">
      <w:pPr>
        <w:jc w:val="right"/>
        <w:rPr>
          <w:b/>
          <w:bCs/>
          <w:sz w:val="20"/>
          <w:szCs w:val="20"/>
        </w:rPr>
      </w:pPr>
    </w:p>
    <w:p w:rsidR="002D5733" w:rsidRPr="00477167" w:rsidRDefault="002D5733" w:rsidP="002D5733">
      <w:pPr>
        <w:jc w:val="right"/>
        <w:rPr>
          <w:b/>
          <w:sz w:val="20"/>
          <w:szCs w:val="20"/>
        </w:rPr>
      </w:pPr>
      <w:r w:rsidRPr="00477167">
        <w:rPr>
          <w:b/>
          <w:sz w:val="20"/>
          <w:szCs w:val="20"/>
        </w:rPr>
        <w:t xml:space="preserve">Приложение № </w:t>
      </w:r>
      <w:r w:rsidRPr="00477167">
        <w:rPr>
          <w:b/>
          <w:sz w:val="20"/>
          <w:szCs w:val="20"/>
          <w:lang w:val="kk-KZ"/>
        </w:rPr>
        <w:t>2</w:t>
      </w:r>
      <w:r w:rsidRPr="00477167">
        <w:rPr>
          <w:b/>
          <w:sz w:val="20"/>
          <w:szCs w:val="20"/>
        </w:rPr>
        <w:t xml:space="preserve"> к тендерной документации</w:t>
      </w:r>
    </w:p>
    <w:p w:rsidR="00893FBB" w:rsidRPr="00477167" w:rsidRDefault="00893FBB" w:rsidP="00893FBB">
      <w:pPr>
        <w:widowControl w:val="0"/>
        <w:tabs>
          <w:tab w:val="left" w:pos="426"/>
        </w:tabs>
        <w:jc w:val="right"/>
        <w:rPr>
          <w:b/>
          <w:bCs/>
          <w:sz w:val="20"/>
          <w:szCs w:val="20"/>
        </w:rPr>
      </w:pPr>
    </w:p>
    <w:p w:rsidR="006D69AA" w:rsidRPr="00477167" w:rsidRDefault="006D69AA" w:rsidP="00893FBB">
      <w:pPr>
        <w:widowControl w:val="0"/>
        <w:tabs>
          <w:tab w:val="left" w:pos="426"/>
        </w:tabs>
        <w:jc w:val="right"/>
        <w:rPr>
          <w:b/>
          <w:bCs/>
          <w:sz w:val="20"/>
          <w:szCs w:val="20"/>
        </w:rPr>
      </w:pPr>
    </w:p>
    <w:p w:rsidR="00893FBB" w:rsidRPr="00477167" w:rsidRDefault="00893FBB" w:rsidP="00893FBB">
      <w:pPr>
        <w:widowControl w:val="0"/>
        <w:tabs>
          <w:tab w:val="left" w:pos="426"/>
        </w:tabs>
        <w:jc w:val="center"/>
        <w:rPr>
          <w:b/>
          <w:bCs/>
          <w:sz w:val="20"/>
          <w:szCs w:val="20"/>
        </w:rPr>
      </w:pPr>
      <w:r w:rsidRPr="00477167">
        <w:rPr>
          <w:b/>
          <w:bCs/>
          <w:sz w:val="20"/>
          <w:szCs w:val="20"/>
        </w:rPr>
        <w:t>Техническая спецификация</w:t>
      </w:r>
      <w:r w:rsidR="002D5733" w:rsidRPr="00477167">
        <w:rPr>
          <w:b/>
          <w:bCs/>
          <w:sz w:val="20"/>
          <w:szCs w:val="20"/>
        </w:rPr>
        <w:t xml:space="preserve"> </w:t>
      </w:r>
    </w:p>
    <w:p w:rsidR="00477167" w:rsidRPr="00477167" w:rsidRDefault="00477167" w:rsidP="00893FBB">
      <w:pPr>
        <w:widowControl w:val="0"/>
        <w:tabs>
          <w:tab w:val="left" w:pos="426"/>
        </w:tabs>
        <w:jc w:val="center"/>
        <w:rPr>
          <w:b/>
          <w:bCs/>
          <w:sz w:val="20"/>
          <w:szCs w:val="20"/>
        </w:rPr>
      </w:pPr>
    </w:p>
    <w:tbl>
      <w:tblPr>
        <w:tblW w:w="148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56"/>
        <w:gridCol w:w="11766"/>
      </w:tblGrid>
      <w:tr w:rsidR="00811CD5" w:rsidRPr="001011D0" w:rsidTr="000067FC">
        <w:trPr>
          <w:trHeight w:val="720"/>
        </w:trPr>
        <w:tc>
          <w:tcPr>
            <w:tcW w:w="581" w:type="dxa"/>
            <w:shd w:val="clear" w:color="FFFFCC" w:fill="FFFFFF"/>
            <w:vAlign w:val="center"/>
            <w:hideMark/>
          </w:tcPr>
          <w:p w:rsidR="00811CD5" w:rsidRPr="001011D0" w:rsidRDefault="00811CD5" w:rsidP="000067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011D0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2456" w:type="dxa"/>
            <w:shd w:val="clear" w:color="FFFFCC" w:fill="FFFFFF"/>
            <w:vAlign w:val="center"/>
            <w:hideMark/>
          </w:tcPr>
          <w:p w:rsidR="00811CD5" w:rsidRPr="001011D0" w:rsidRDefault="00811CD5" w:rsidP="000067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011D0">
              <w:rPr>
                <w:b/>
                <w:bCs/>
                <w:color w:val="000000"/>
                <w:sz w:val="16"/>
                <w:szCs w:val="16"/>
              </w:rPr>
              <w:t>Наименование (МНН)</w:t>
            </w:r>
          </w:p>
        </w:tc>
        <w:tc>
          <w:tcPr>
            <w:tcW w:w="11766" w:type="dxa"/>
            <w:shd w:val="clear" w:color="FFFFCC" w:fill="FFFFFF"/>
            <w:vAlign w:val="center"/>
            <w:hideMark/>
          </w:tcPr>
          <w:p w:rsidR="00811CD5" w:rsidRPr="001011D0" w:rsidRDefault="00811CD5" w:rsidP="000067F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011D0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</w:tr>
      <w:tr w:rsidR="00B6377E" w:rsidRPr="001011D0" w:rsidTr="00254076">
        <w:trPr>
          <w:trHeight w:val="808"/>
        </w:trPr>
        <w:tc>
          <w:tcPr>
            <w:tcW w:w="581" w:type="dxa"/>
            <w:shd w:val="clear" w:color="auto" w:fill="auto"/>
            <w:vAlign w:val="center"/>
            <w:hideMark/>
          </w:tcPr>
          <w:p w:rsidR="00B6377E" w:rsidRPr="00811CD5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Ганцикловир</w:t>
            </w:r>
          </w:p>
        </w:tc>
        <w:tc>
          <w:tcPr>
            <w:tcW w:w="11766" w:type="dxa"/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  <w:sz w:val="22"/>
                <w:szCs w:val="22"/>
              </w:rPr>
            </w:pPr>
            <w:r w:rsidRPr="00E81B97">
              <w:rPr>
                <w:color w:val="000000"/>
                <w:sz w:val="22"/>
                <w:szCs w:val="22"/>
              </w:rPr>
              <w:t>Лиофилизат для приготовления раствора для инфузий, 500 мг</w:t>
            </w:r>
          </w:p>
        </w:tc>
      </w:tr>
      <w:tr w:rsidR="00B6377E" w:rsidRPr="001011D0" w:rsidTr="0025407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2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E81B97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Иммуноглобулин человека нормальный</w:t>
            </w:r>
          </w:p>
        </w:tc>
        <w:tc>
          <w:tcPr>
            <w:tcW w:w="11766" w:type="dxa"/>
            <w:shd w:val="clear" w:color="auto" w:fill="auto"/>
            <w:vAlign w:val="center"/>
          </w:tcPr>
          <w:p w:rsidR="00B6377E" w:rsidRPr="00E81B97" w:rsidRDefault="00E81B97" w:rsidP="00B637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</w:t>
            </w:r>
            <w:r w:rsidRPr="00E81B97">
              <w:rPr>
                <w:color w:val="000000"/>
                <w:sz w:val="22"/>
                <w:szCs w:val="22"/>
              </w:rPr>
              <w:t>аствор для внутривенного введения 50 мг/мл 50 мл</w:t>
            </w:r>
          </w:p>
        </w:tc>
      </w:tr>
      <w:tr w:rsidR="00B6377E" w:rsidRPr="001011D0" w:rsidTr="0025407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3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Иммуноглобулин человеческий  IgM-IgA+IgG</w:t>
            </w:r>
          </w:p>
        </w:tc>
        <w:tc>
          <w:tcPr>
            <w:tcW w:w="11766" w:type="dxa"/>
            <w:shd w:val="clear" w:color="auto" w:fill="auto"/>
            <w:vAlign w:val="center"/>
          </w:tcPr>
          <w:p w:rsidR="00B6377E" w:rsidRPr="00E81B97" w:rsidRDefault="00E81B97" w:rsidP="00B637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Р</w:t>
            </w:r>
            <w:r w:rsidR="00A84AAA" w:rsidRPr="00E81B9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аствор для внутривенного введения 50 мг/мл 10 мл</w:t>
            </w:r>
          </w:p>
        </w:tc>
      </w:tr>
      <w:tr w:rsidR="00B6377E" w:rsidRPr="001011D0" w:rsidTr="0025407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4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Иммуноглобулин человеческий против цитомегаловируса</w:t>
            </w:r>
          </w:p>
        </w:tc>
        <w:tc>
          <w:tcPr>
            <w:tcW w:w="11766" w:type="dxa"/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  <w:sz w:val="22"/>
                <w:szCs w:val="22"/>
              </w:rPr>
            </w:pPr>
            <w:r w:rsidRPr="00E81B97">
              <w:rPr>
                <w:color w:val="000000"/>
                <w:spacing w:val="2"/>
                <w:sz w:val="22"/>
                <w:szCs w:val="22"/>
                <w:shd w:val="clear" w:color="auto" w:fill="FFFFFF"/>
              </w:rPr>
              <w:t>Раствор для внутривенного введения, 10 мл/1000 Е, 10 мл</w:t>
            </w:r>
          </w:p>
        </w:tc>
      </w:tr>
      <w:tr w:rsidR="00B6377E" w:rsidRPr="001011D0" w:rsidTr="0025407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5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6377E" w:rsidRPr="00E81B97" w:rsidRDefault="00B6377E" w:rsidP="00B6377E">
            <w:pPr>
              <w:rPr>
                <w:color w:val="000000"/>
                <w:sz w:val="22"/>
                <w:szCs w:val="22"/>
              </w:rPr>
            </w:pPr>
            <w:r w:rsidRPr="00E81B97">
              <w:rPr>
                <w:color w:val="000000"/>
                <w:sz w:val="22"/>
                <w:szCs w:val="22"/>
              </w:rPr>
              <w:t xml:space="preserve">Система для внутривенных инфузий для совместимых насосов, Y- port для игольного доступа </w:t>
            </w:r>
          </w:p>
        </w:tc>
        <w:tc>
          <w:tcPr>
            <w:tcW w:w="11766" w:type="dxa"/>
            <w:shd w:val="clear" w:color="auto" w:fill="auto"/>
            <w:vAlign w:val="center"/>
          </w:tcPr>
          <w:p w:rsidR="00B6377E" w:rsidRPr="00E81B97" w:rsidRDefault="00E81B97" w:rsidP="00B6377E">
            <w:pPr>
              <w:jc w:val="center"/>
              <w:rPr>
                <w:color w:val="000000"/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Система для внутривенных инфузий для совместимых насосов, Y- port для игольного доступа «Infusomat Space Line» ПВХ без фталатов, длиной 250-270см. Силиконовый перистальтический сегмент гарантирует высокую точность введения и постоянство при длительной инфузии. Разные по форме фиксаторы верхней и нижней частей силиконового сегмента помогают установить систему в насос быстро и просто. Капельница сверху имеет пункционный наконечник и антибактериальную вентиляцию с защитным колпачком. Нижняя часть капельницы гибкая, с микрофильтром 15 мкм. Острый шип легко прокалывает различные порты контейнеров. Капельница идеально подходит к датчику капель. Роликовый регулятор с предохраняющим устройством для безопасной утилизации наконечника.</w:t>
            </w:r>
          </w:p>
        </w:tc>
      </w:tr>
      <w:tr w:rsidR="00B6377E" w:rsidRPr="001011D0" w:rsidTr="00254076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6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77E" w:rsidRPr="00E81B97" w:rsidRDefault="00B6377E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шприц трехкомпонентный стерильный однократного применения 10мл</w:t>
            </w:r>
          </w:p>
        </w:tc>
        <w:tc>
          <w:tcPr>
            <w:tcW w:w="11766" w:type="dxa"/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  <w:sz w:val="22"/>
                <w:szCs w:val="22"/>
              </w:rPr>
            </w:pPr>
            <w:r w:rsidRPr="00E81B97">
              <w:rPr>
                <w:color w:val="000000"/>
                <w:sz w:val="22"/>
                <w:szCs w:val="22"/>
              </w:rPr>
              <w:t>Шприцы инъекционные трехкомпонентные, одноразовые, стерильные объемом 10 мл с иглой 21G</w:t>
            </w:r>
          </w:p>
        </w:tc>
      </w:tr>
      <w:tr w:rsidR="00B6377E" w:rsidRPr="001011D0" w:rsidTr="00A84AAA">
        <w:trPr>
          <w:trHeight w:val="808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7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77E" w:rsidRPr="00E81B97" w:rsidRDefault="00B6377E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шприц трехкомпонентный стерильный однократного применения 5мл</w:t>
            </w:r>
          </w:p>
        </w:tc>
        <w:tc>
          <w:tcPr>
            <w:tcW w:w="11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  <w:sz w:val="22"/>
                <w:szCs w:val="22"/>
              </w:rPr>
            </w:pPr>
            <w:r w:rsidRPr="00E81B97">
              <w:rPr>
                <w:color w:val="000000"/>
                <w:sz w:val="22"/>
                <w:szCs w:val="22"/>
              </w:rPr>
              <w:t>Шприцы инъекционные трехкомпонентные, одноразовые, стерильные объемом 5 мл с иглой 22G</w:t>
            </w:r>
          </w:p>
        </w:tc>
      </w:tr>
      <w:tr w:rsidR="00B6377E" w:rsidRPr="001011D0" w:rsidTr="00A84AAA">
        <w:trPr>
          <w:trHeight w:val="80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lastRenderedPageBreak/>
              <w:t>8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77E" w:rsidRPr="00E81B97" w:rsidRDefault="00B6377E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шприц трехкомпонентный стерильный однократного применения 20мл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  <w:sz w:val="22"/>
                <w:szCs w:val="22"/>
              </w:rPr>
            </w:pPr>
            <w:r w:rsidRPr="00E81B97">
              <w:rPr>
                <w:color w:val="000000"/>
                <w:sz w:val="22"/>
                <w:szCs w:val="22"/>
              </w:rPr>
              <w:t>Шприцы инъекционные трехкомпонентные, одноразовые, стерильные объемом 20 мл с иглой 20G</w:t>
            </w:r>
          </w:p>
        </w:tc>
      </w:tr>
      <w:tr w:rsidR="00B6377E" w:rsidRPr="001011D0" w:rsidTr="00A84AAA">
        <w:trPr>
          <w:trHeight w:val="808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9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377E" w:rsidRPr="00E81B97" w:rsidRDefault="00B6377E" w:rsidP="00B6377E">
            <w:pPr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шприц трехкомпонентный стерильный однократного применения 2 мл</w:t>
            </w:r>
          </w:p>
        </w:tc>
        <w:tc>
          <w:tcPr>
            <w:tcW w:w="117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377E" w:rsidRPr="00E81B97" w:rsidRDefault="00A84AAA" w:rsidP="00B6377E">
            <w:pPr>
              <w:jc w:val="center"/>
              <w:rPr>
                <w:color w:val="000000"/>
                <w:sz w:val="22"/>
                <w:szCs w:val="22"/>
              </w:rPr>
            </w:pPr>
            <w:r w:rsidRPr="00E81B97">
              <w:rPr>
                <w:color w:val="000000"/>
                <w:sz w:val="22"/>
                <w:szCs w:val="22"/>
              </w:rPr>
              <w:t xml:space="preserve">Шприцы инъекционные трехкомпонентные, одноразовые, стерильные объемом 2 мл с иглой 23G  </w:t>
            </w:r>
          </w:p>
        </w:tc>
      </w:tr>
      <w:tr w:rsidR="00B6377E" w:rsidRPr="001011D0" w:rsidTr="00F10DAB">
        <w:trPr>
          <w:trHeight w:val="808"/>
        </w:trPr>
        <w:tc>
          <w:tcPr>
            <w:tcW w:w="581" w:type="dxa"/>
            <w:shd w:val="clear" w:color="auto" w:fill="auto"/>
            <w:vAlign w:val="center"/>
          </w:tcPr>
          <w:p w:rsidR="00B6377E" w:rsidRPr="00B6377E" w:rsidRDefault="00B6377E" w:rsidP="00B6377E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>
              <w:rPr>
                <w:color w:val="000000"/>
                <w:sz w:val="16"/>
                <w:szCs w:val="16"/>
                <w:lang w:val="kk-KZ"/>
              </w:rPr>
              <w:t>10</w:t>
            </w:r>
          </w:p>
        </w:tc>
        <w:tc>
          <w:tcPr>
            <w:tcW w:w="2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7E" w:rsidRPr="00E81B97" w:rsidRDefault="00B6377E" w:rsidP="00F10DAB">
            <w:pPr>
              <w:jc w:val="center"/>
              <w:rPr>
                <w:sz w:val="22"/>
                <w:szCs w:val="22"/>
              </w:rPr>
            </w:pPr>
            <w:r w:rsidRPr="00E81B97">
              <w:rPr>
                <w:sz w:val="22"/>
                <w:szCs w:val="22"/>
              </w:rPr>
              <w:t>вода для инъекций 400мл</w:t>
            </w:r>
          </w:p>
        </w:tc>
        <w:tc>
          <w:tcPr>
            <w:tcW w:w="11766" w:type="dxa"/>
            <w:shd w:val="clear" w:color="auto" w:fill="auto"/>
            <w:vAlign w:val="center"/>
          </w:tcPr>
          <w:p w:rsidR="00F10DAB" w:rsidRPr="00F10DAB" w:rsidRDefault="00F10DAB" w:rsidP="00F10DA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Вода стерильная для инъекций. Вода стерильная для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приготовления стерильных растворов лекарственных и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диагностических средств, предназначенных для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подкожного, внутримышечного и внутривенного введения.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Вода для инъекций не должна обладать фармакологической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активностью, не должна содержать химических, прежде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всего токсических примесей (нитраты, нитриты, хлориды,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сульфаты, тяжелые металлы и др.). Вода должна быть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>изготовлена в условиях производственной аптеки. Должна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10DAB">
              <w:rPr>
                <w:rFonts w:eastAsiaTheme="minorHAnsi"/>
                <w:sz w:val="22"/>
                <w:szCs w:val="22"/>
                <w:lang w:eastAsia="en-US"/>
              </w:rPr>
              <w:t xml:space="preserve">поставляться во флаконах объемом 400 мл. </w:t>
            </w:r>
            <w:bookmarkStart w:id="0" w:name="_GoBack"/>
            <w:bookmarkEnd w:id="0"/>
          </w:p>
          <w:p w:rsidR="00B6377E" w:rsidRPr="00E81B97" w:rsidRDefault="00B6377E" w:rsidP="00F10DA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477167" w:rsidRPr="00477167" w:rsidRDefault="00477167" w:rsidP="00477167">
      <w:pPr>
        <w:pStyle w:val="a4"/>
        <w:jc w:val="right"/>
        <w:rPr>
          <w:b/>
          <w:bCs/>
          <w:sz w:val="20"/>
          <w:szCs w:val="20"/>
        </w:rPr>
      </w:pPr>
      <w:r w:rsidRPr="00477167">
        <w:rPr>
          <w:b/>
          <w:bCs/>
          <w:sz w:val="20"/>
          <w:szCs w:val="20"/>
        </w:rPr>
        <w:tab/>
      </w:r>
      <w:r w:rsidRPr="00477167">
        <w:rPr>
          <w:b/>
          <w:bCs/>
          <w:sz w:val="20"/>
          <w:szCs w:val="20"/>
        </w:rPr>
        <w:tab/>
      </w:r>
      <w:r w:rsidRPr="00477167">
        <w:rPr>
          <w:b/>
          <w:bCs/>
          <w:sz w:val="20"/>
          <w:szCs w:val="20"/>
        </w:rPr>
        <w:tab/>
      </w:r>
      <w:r w:rsidRPr="00477167">
        <w:rPr>
          <w:b/>
          <w:bCs/>
          <w:sz w:val="20"/>
          <w:szCs w:val="20"/>
        </w:rPr>
        <w:tab/>
      </w:r>
      <w:r w:rsidRPr="00477167">
        <w:rPr>
          <w:b/>
          <w:bCs/>
          <w:sz w:val="20"/>
          <w:szCs w:val="20"/>
        </w:rPr>
        <w:tab/>
      </w:r>
      <w:r w:rsidRPr="00477167">
        <w:rPr>
          <w:b/>
          <w:bCs/>
          <w:sz w:val="20"/>
          <w:szCs w:val="20"/>
        </w:rPr>
        <w:tab/>
      </w:r>
      <w:r w:rsidRPr="00477167">
        <w:rPr>
          <w:b/>
          <w:bCs/>
          <w:sz w:val="20"/>
          <w:szCs w:val="20"/>
        </w:rPr>
        <w:tab/>
      </w:r>
      <w:r w:rsidRPr="00477167">
        <w:rPr>
          <w:b/>
          <w:bCs/>
          <w:sz w:val="20"/>
          <w:szCs w:val="20"/>
        </w:rPr>
        <w:tab/>
      </w:r>
    </w:p>
    <w:p w:rsidR="00477167" w:rsidRPr="00477167" w:rsidRDefault="00477167" w:rsidP="00477167">
      <w:pPr>
        <w:rPr>
          <w:b/>
          <w:bCs/>
          <w:sz w:val="20"/>
          <w:szCs w:val="20"/>
          <w:lang w:eastAsia="ko-KR"/>
        </w:rPr>
      </w:pPr>
    </w:p>
    <w:p w:rsidR="00477167" w:rsidRPr="00477167" w:rsidRDefault="00477167" w:rsidP="00477167">
      <w:pPr>
        <w:rPr>
          <w:sz w:val="20"/>
          <w:szCs w:val="20"/>
        </w:rPr>
      </w:pPr>
    </w:p>
    <w:p w:rsidR="00477167" w:rsidRPr="00477167" w:rsidRDefault="00477167" w:rsidP="00893FBB">
      <w:pPr>
        <w:widowControl w:val="0"/>
        <w:tabs>
          <w:tab w:val="left" w:pos="426"/>
        </w:tabs>
        <w:jc w:val="center"/>
        <w:rPr>
          <w:b/>
          <w:bCs/>
          <w:sz w:val="20"/>
          <w:szCs w:val="20"/>
        </w:rPr>
      </w:pPr>
    </w:p>
    <w:sectPr w:rsidR="00477167" w:rsidRPr="00477167" w:rsidSect="00CB7F7B">
      <w:footerReference w:type="default" r:id="rId7"/>
      <w:pgSz w:w="16838" w:h="11906" w:orient="landscape" w:code="9"/>
      <w:pgMar w:top="1135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005" w:rsidRDefault="00632005" w:rsidP="008614D3">
      <w:r>
        <w:separator/>
      </w:r>
    </w:p>
  </w:endnote>
  <w:endnote w:type="continuationSeparator" w:id="0">
    <w:p w:rsidR="00632005" w:rsidRDefault="00632005" w:rsidP="0086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5789437"/>
      <w:docPartObj>
        <w:docPartGallery w:val="Page Numbers (Bottom of Page)"/>
        <w:docPartUnique/>
      </w:docPartObj>
    </w:sdtPr>
    <w:sdtEndPr/>
    <w:sdtContent>
      <w:p w:rsidR="008614D3" w:rsidRDefault="00111FDA" w:rsidP="008614D3">
        <w:pPr>
          <w:pStyle w:val="a7"/>
          <w:jc w:val="right"/>
        </w:pPr>
        <w:r>
          <w:fldChar w:fldCharType="begin"/>
        </w:r>
        <w:r w:rsidR="008614D3">
          <w:instrText>PAGE   \* MERGEFORMAT</w:instrText>
        </w:r>
        <w:r>
          <w:fldChar w:fldCharType="separate"/>
        </w:r>
        <w:r w:rsidR="00F10DA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005" w:rsidRDefault="00632005" w:rsidP="008614D3">
      <w:r>
        <w:separator/>
      </w:r>
    </w:p>
  </w:footnote>
  <w:footnote w:type="continuationSeparator" w:id="0">
    <w:p w:rsidR="00632005" w:rsidRDefault="00632005" w:rsidP="008614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2092"/>
    <w:rsid w:val="00061222"/>
    <w:rsid w:val="000B3750"/>
    <w:rsid w:val="000F79B7"/>
    <w:rsid w:val="001106A9"/>
    <w:rsid w:val="00111FDA"/>
    <w:rsid w:val="0012521B"/>
    <w:rsid w:val="00135145"/>
    <w:rsid w:val="00137562"/>
    <w:rsid w:val="001659D7"/>
    <w:rsid w:val="0016755E"/>
    <w:rsid w:val="001F4F10"/>
    <w:rsid w:val="001F75B5"/>
    <w:rsid w:val="00203633"/>
    <w:rsid w:val="00212D41"/>
    <w:rsid w:val="0024059A"/>
    <w:rsid w:val="002423D0"/>
    <w:rsid w:val="00257D04"/>
    <w:rsid w:val="002C36E7"/>
    <w:rsid w:val="002D5733"/>
    <w:rsid w:val="002E0B90"/>
    <w:rsid w:val="002E78E4"/>
    <w:rsid w:val="002F6832"/>
    <w:rsid w:val="00350802"/>
    <w:rsid w:val="00380F61"/>
    <w:rsid w:val="003B158A"/>
    <w:rsid w:val="003F344B"/>
    <w:rsid w:val="003F4F07"/>
    <w:rsid w:val="00416934"/>
    <w:rsid w:val="004411F0"/>
    <w:rsid w:val="00477167"/>
    <w:rsid w:val="004B4D4F"/>
    <w:rsid w:val="004C032A"/>
    <w:rsid w:val="004C6796"/>
    <w:rsid w:val="004C6A89"/>
    <w:rsid w:val="0051436D"/>
    <w:rsid w:val="005207BA"/>
    <w:rsid w:val="00520C8F"/>
    <w:rsid w:val="00530C5B"/>
    <w:rsid w:val="00550796"/>
    <w:rsid w:val="00566276"/>
    <w:rsid w:val="00595C26"/>
    <w:rsid w:val="005D27DC"/>
    <w:rsid w:val="005F26E9"/>
    <w:rsid w:val="00604A19"/>
    <w:rsid w:val="00632005"/>
    <w:rsid w:val="00632616"/>
    <w:rsid w:val="00654520"/>
    <w:rsid w:val="00675691"/>
    <w:rsid w:val="006C3B69"/>
    <w:rsid w:val="006D69AA"/>
    <w:rsid w:val="00720430"/>
    <w:rsid w:val="007671DB"/>
    <w:rsid w:val="0077098A"/>
    <w:rsid w:val="00782F2D"/>
    <w:rsid w:val="007A3783"/>
    <w:rsid w:val="007D59C4"/>
    <w:rsid w:val="00802FF8"/>
    <w:rsid w:val="00811CD5"/>
    <w:rsid w:val="00852FED"/>
    <w:rsid w:val="0085497F"/>
    <w:rsid w:val="008614D3"/>
    <w:rsid w:val="00866A76"/>
    <w:rsid w:val="00874A78"/>
    <w:rsid w:val="00893FBB"/>
    <w:rsid w:val="008A22E4"/>
    <w:rsid w:val="008B047B"/>
    <w:rsid w:val="008D1D26"/>
    <w:rsid w:val="008F15A9"/>
    <w:rsid w:val="00913AAA"/>
    <w:rsid w:val="00930F4B"/>
    <w:rsid w:val="00957DDC"/>
    <w:rsid w:val="00964F0E"/>
    <w:rsid w:val="009A5EDF"/>
    <w:rsid w:val="009D026E"/>
    <w:rsid w:val="009E319A"/>
    <w:rsid w:val="009E3E35"/>
    <w:rsid w:val="009E7404"/>
    <w:rsid w:val="00A04E43"/>
    <w:rsid w:val="00A46635"/>
    <w:rsid w:val="00A60962"/>
    <w:rsid w:val="00A84AAA"/>
    <w:rsid w:val="00AD1263"/>
    <w:rsid w:val="00B045D3"/>
    <w:rsid w:val="00B26E2D"/>
    <w:rsid w:val="00B5386A"/>
    <w:rsid w:val="00B6377E"/>
    <w:rsid w:val="00B90664"/>
    <w:rsid w:val="00BE2FD3"/>
    <w:rsid w:val="00CA1525"/>
    <w:rsid w:val="00CB1FA6"/>
    <w:rsid w:val="00CB7F7B"/>
    <w:rsid w:val="00CC5DCC"/>
    <w:rsid w:val="00D05330"/>
    <w:rsid w:val="00D214EA"/>
    <w:rsid w:val="00D31F01"/>
    <w:rsid w:val="00D460F7"/>
    <w:rsid w:val="00D93CC3"/>
    <w:rsid w:val="00D947F6"/>
    <w:rsid w:val="00DA1B86"/>
    <w:rsid w:val="00DB2092"/>
    <w:rsid w:val="00DB2784"/>
    <w:rsid w:val="00DD276E"/>
    <w:rsid w:val="00E058A6"/>
    <w:rsid w:val="00E43AF3"/>
    <w:rsid w:val="00E729F9"/>
    <w:rsid w:val="00E81B97"/>
    <w:rsid w:val="00E82739"/>
    <w:rsid w:val="00E83C5C"/>
    <w:rsid w:val="00EC5D2F"/>
    <w:rsid w:val="00EF1AF5"/>
    <w:rsid w:val="00F10DAB"/>
    <w:rsid w:val="00F26C55"/>
    <w:rsid w:val="00F27437"/>
    <w:rsid w:val="00F355AD"/>
    <w:rsid w:val="00F3594B"/>
    <w:rsid w:val="00F54D6B"/>
    <w:rsid w:val="00F576BA"/>
    <w:rsid w:val="00F71271"/>
    <w:rsid w:val="00F84CF5"/>
    <w:rsid w:val="00FA6EAA"/>
    <w:rsid w:val="00FB0FA0"/>
    <w:rsid w:val="00FF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6FD58"/>
  <w15:docId w15:val="{9064469A-DDED-4F10-9A4E-08998B3C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2E0B9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893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3"/>
    <w:qFormat/>
    <w:rsid w:val="00893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14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1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F15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F15A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E0B90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Default">
    <w:name w:val="Default"/>
    <w:rsid w:val="0047716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Стиль1 Знак"/>
    <w:link w:val="10"/>
    <w:rsid w:val="00477167"/>
    <w:rPr>
      <w:rFonts w:ascii="Times New Roman" w:eastAsia="Times New Roman" w:hAnsi="Times New Roman"/>
    </w:rPr>
  </w:style>
  <w:style w:type="paragraph" w:customStyle="1" w:styleId="10">
    <w:name w:val="Стиль1"/>
    <w:basedOn w:val="a"/>
    <w:link w:val="1"/>
    <w:qFormat/>
    <w:rsid w:val="00477167"/>
    <w:pPr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6238F-66AB-4D51-8AA8-D231D4B26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Олейник</dc:creator>
  <cp:lastModifiedBy>MEN-GOZ</cp:lastModifiedBy>
  <cp:revision>17</cp:revision>
  <cp:lastPrinted>2023-09-14T06:05:00Z</cp:lastPrinted>
  <dcterms:created xsi:type="dcterms:W3CDTF">2023-09-26T10:09:00Z</dcterms:created>
  <dcterms:modified xsi:type="dcterms:W3CDTF">2024-01-25T05:48:00Z</dcterms:modified>
</cp:coreProperties>
</file>